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8E1A" w14:textId="77777777" w:rsidR="00E84279" w:rsidRPr="00E84279" w:rsidRDefault="00E84279" w:rsidP="00E84279">
      <w:pPr>
        <w:suppressAutoHyphens/>
        <w:spacing w:after="0" w:line="240" w:lineRule="atLeast"/>
        <w:jc w:val="both"/>
        <w:rPr>
          <w:rFonts w:ascii="Book Antiqua" w:eastAsia="Times New Roman" w:hAnsi="Book Antiqua" w:cs="Times New Roman"/>
          <w:b/>
          <w:bCs/>
          <w:spacing w:val="-3"/>
          <w:sz w:val="28"/>
          <w:szCs w:val="28"/>
        </w:rPr>
      </w:pPr>
      <w:r w:rsidRPr="00E84279">
        <w:rPr>
          <w:rFonts w:ascii="Book Antiqua" w:eastAsia="Times New Roman" w:hAnsi="Book Antiqua" w:cs="Times New Roman"/>
          <w:b/>
          <w:bCs/>
          <w:spacing w:val="-3"/>
          <w:sz w:val="28"/>
          <w:szCs w:val="28"/>
        </w:rPr>
        <w:t>ARTICLE 6 - BOARD OF APPEALS</w:t>
      </w:r>
      <w:r w:rsidRPr="00E84279">
        <w:rPr>
          <w:rFonts w:ascii="Book Antiqua" w:eastAsia="Times New Roman" w:hAnsi="Book Antiqua" w:cs="Times New Roman"/>
          <w:b/>
          <w:bCs/>
          <w:spacing w:val="-3"/>
          <w:sz w:val="28"/>
          <w:szCs w:val="28"/>
        </w:rPr>
        <w:fldChar w:fldCharType="begin"/>
      </w:r>
      <w:r w:rsidRPr="00E84279">
        <w:rPr>
          <w:rFonts w:ascii="Book Antiqua" w:eastAsia="Times New Roman" w:hAnsi="Book Antiqua" w:cs="Times New Roman"/>
          <w:b/>
          <w:bCs/>
          <w:spacing w:val="-3"/>
          <w:sz w:val="28"/>
          <w:szCs w:val="28"/>
        </w:rPr>
        <w:instrText xml:space="preserve">PRIVATE </w:instrText>
      </w:r>
      <w:r w:rsidRPr="00E84279">
        <w:rPr>
          <w:rFonts w:ascii="Book Antiqua" w:eastAsia="Times New Roman" w:hAnsi="Book Antiqua" w:cs="Times New Roman"/>
          <w:b/>
          <w:bCs/>
          <w:spacing w:val="-3"/>
          <w:sz w:val="28"/>
          <w:szCs w:val="28"/>
        </w:rPr>
        <w:fldChar w:fldCharType="end"/>
      </w:r>
    </w:p>
    <w:p w14:paraId="3ECC8E1B" w14:textId="77777777" w:rsidR="00E84279" w:rsidRPr="00E84279" w:rsidRDefault="00E84279" w:rsidP="00E84279">
      <w:pPr>
        <w:suppressAutoHyphens/>
        <w:spacing w:after="0" w:line="240" w:lineRule="atLeast"/>
        <w:jc w:val="both"/>
        <w:rPr>
          <w:rFonts w:ascii="Book Antiqua" w:eastAsia="Times New Roman" w:hAnsi="Book Antiqua" w:cs="Times New Roman"/>
          <w:b/>
          <w:bCs/>
          <w:spacing w:val="-3"/>
          <w:sz w:val="24"/>
          <w:szCs w:val="24"/>
        </w:rPr>
      </w:pPr>
    </w:p>
    <w:p w14:paraId="3ECC8E1C" w14:textId="77777777" w:rsidR="00E84279" w:rsidRPr="00E84279" w:rsidRDefault="00E84279" w:rsidP="00E84279">
      <w:pPr>
        <w:tabs>
          <w:tab w:val="left" w:pos="-1170"/>
        </w:tabs>
        <w:suppressAutoHyphens/>
        <w:spacing w:after="0" w:line="240" w:lineRule="atLeast"/>
        <w:jc w:val="both"/>
        <w:rPr>
          <w:rFonts w:ascii="Book Antiqua" w:eastAsia="Times New Roman" w:hAnsi="Book Antiqua" w:cs="Times New Roman"/>
          <w:spacing w:val="-3"/>
          <w:sz w:val="24"/>
          <w:szCs w:val="24"/>
        </w:rPr>
      </w:pPr>
      <w:proofErr w:type="gramStart"/>
      <w:r w:rsidRPr="00E84279">
        <w:rPr>
          <w:rFonts w:ascii="Book Antiqua" w:eastAsia="Times New Roman" w:hAnsi="Book Antiqua" w:cs="Times New Roman"/>
          <w:b/>
          <w:bCs/>
          <w:spacing w:val="-3"/>
          <w:sz w:val="24"/>
          <w:szCs w:val="24"/>
        </w:rPr>
        <w:t>6.1  Appointment</w:t>
      </w:r>
      <w:proofErr w:type="gramEnd"/>
      <w:r w:rsidRPr="00E84279">
        <w:rPr>
          <w:rFonts w:ascii="Book Antiqua" w:eastAsia="Times New Roman" w:hAnsi="Book Antiqua" w:cs="Times New Roman"/>
          <w:b/>
          <w:bCs/>
          <w:spacing w:val="-3"/>
          <w:sz w:val="24"/>
          <w:szCs w:val="24"/>
        </w:rPr>
        <w:t xml:space="preserve"> and Composition.</w:t>
      </w:r>
    </w:p>
    <w:p w14:paraId="3ECC8E1D" w14:textId="77777777" w:rsidR="00E84279" w:rsidRPr="00E84279" w:rsidRDefault="00E84279" w:rsidP="00E84279">
      <w:pPr>
        <w:tabs>
          <w:tab w:val="left" w:pos="-1170"/>
        </w:tabs>
        <w:suppressAutoHyphens/>
        <w:spacing w:after="0" w:line="240" w:lineRule="atLeast"/>
        <w:jc w:val="both"/>
        <w:rPr>
          <w:rFonts w:ascii="Book Antiqua" w:eastAsia="Times New Roman" w:hAnsi="Book Antiqua" w:cs="Times New Roman"/>
          <w:spacing w:val="-3"/>
          <w:sz w:val="24"/>
          <w:szCs w:val="24"/>
        </w:rPr>
      </w:pPr>
    </w:p>
    <w:p w14:paraId="3ECC8E1E" w14:textId="77777777" w:rsidR="00E84279" w:rsidRPr="00E84279" w:rsidRDefault="00E84279" w:rsidP="00E84279">
      <w:pPr>
        <w:tabs>
          <w:tab w:val="left" w:pos="-1170"/>
        </w:tabs>
        <w:suppressAutoHyphens/>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The Municipal officers shall appoint a Board of Appeals consisting of five (5) members all of whom shall be residents of Buxton.  The terms of members shall be three (3) years except that initial appointments shall be at least three (3) years and not more than five (5) years such that the terms of office of no more than two (2) members shall expire in any single year.  The Board shall elect annually a Chairman, Vice-Chairman and Secretary from its membership.  Neither a Municipal Officer nor his or her spouse may be a member of the Board.  A quorum shall consist of three (3) members and all questions shall be decided by majority vote.</w:t>
      </w:r>
    </w:p>
    <w:p w14:paraId="405E7D24" w14:textId="77777777" w:rsidR="00035F66" w:rsidRDefault="00035F66" w:rsidP="00E84279">
      <w:pPr>
        <w:tabs>
          <w:tab w:val="left" w:pos="-1170"/>
        </w:tabs>
        <w:suppressAutoHyphens/>
        <w:spacing w:after="0" w:line="240" w:lineRule="atLeast"/>
        <w:jc w:val="both"/>
        <w:rPr>
          <w:rFonts w:ascii="Book Antiqua" w:eastAsia="Times New Roman" w:hAnsi="Book Antiqua" w:cs="Times New Roman"/>
          <w:spacing w:val="-3"/>
          <w:sz w:val="24"/>
          <w:szCs w:val="24"/>
        </w:rPr>
      </w:pPr>
    </w:p>
    <w:p w14:paraId="3ECC8E20" w14:textId="20ADA34D" w:rsidR="00E84279" w:rsidRPr="00E84279" w:rsidRDefault="00E84279" w:rsidP="00E84279">
      <w:pPr>
        <w:tabs>
          <w:tab w:val="left" w:pos="-1170"/>
        </w:tabs>
        <w:suppressAutoHyphens/>
        <w:spacing w:after="0" w:line="240" w:lineRule="atLeast"/>
        <w:jc w:val="both"/>
        <w:rPr>
          <w:rFonts w:ascii="Book Antiqua" w:eastAsia="Times New Roman" w:hAnsi="Book Antiqua" w:cs="Times New Roman"/>
          <w:spacing w:val="-3"/>
          <w:sz w:val="24"/>
          <w:szCs w:val="24"/>
        </w:rPr>
      </w:pPr>
      <w:proofErr w:type="gramStart"/>
      <w:r w:rsidRPr="00E84279">
        <w:rPr>
          <w:rFonts w:ascii="Book Antiqua" w:eastAsia="Times New Roman" w:hAnsi="Book Antiqua" w:cs="Times New Roman"/>
          <w:b/>
          <w:bCs/>
          <w:spacing w:val="-3"/>
          <w:sz w:val="24"/>
          <w:szCs w:val="24"/>
        </w:rPr>
        <w:t>6.2  Powers</w:t>
      </w:r>
      <w:proofErr w:type="gramEnd"/>
      <w:r w:rsidRPr="00E84279">
        <w:rPr>
          <w:rFonts w:ascii="Book Antiqua" w:eastAsia="Times New Roman" w:hAnsi="Book Antiqua" w:cs="Times New Roman"/>
          <w:b/>
          <w:bCs/>
          <w:spacing w:val="-3"/>
          <w:sz w:val="24"/>
          <w:szCs w:val="24"/>
        </w:rPr>
        <w:t xml:space="preserve"> and Duties.</w:t>
      </w:r>
    </w:p>
    <w:p w14:paraId="3ECC8E21" w14:textId="77777777" w:rsidR="00E84279" w:rsidRPr="00E84279" w:rsidRDefault="00E84279" w:rsidP="00E84279">
      <w:pPr>
        <w:tabs>
          <w:tab w:val="left" w:pos="-1170"/>
        </w:tabs>
        <w:suppressAutoHyphens/>
        <w:spacing w:after="0" w:line="240" w:lineRule="atLeast"/>
        <w:jc w:val="both"/>
        <w:rPr>
          <w:rFonts w:ascii="Book Antiqua" w:eastAsia="Times New Roman" w:hAnsi="Book Antiqua" w:cs="Times New Roman"/>
          <w:spacing w:val="-3"/>
          <w:sz w:val="24"/>
          <w:szCs w:val="24"/>
        </w:rPr>
      </w:pPr>
    </w:p>
    <w:p w14:paraId="3ECC8E22" w14:textId="27F3526D" w:rsidR="00E84279" w:rsidRPr="00E84279" w:rsidRDefault="00E84279" w:rsidP="00E84279">
      <w:pPr>
        <w:tabs>
          <w:tab w:val="left" w:pos="-1170"/>
        </w:tabs>
        <w:suppressAutoHyphens/>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The Board shall have the following powers and duties.</w:t>
      </w:r>
    </w:p>
    <w:p w14:paraId="3ECC8E23" w14:textId="77777777" w:rsidR="00E84279" w:rsidRPr="00E84279" w:rsidRDefault="00E84279" w:rsidP="00E84279">
      <w:pPr>
        <w:tabs>
          <w:tab w:val="left" w:pos="-1170"/>
        </w:tabs>
        <w:suppressAutoHyphens/>
        <w:spacing w:after="0" w:line="240" w:lineRule="atLeast"/>
        <w:jc w:val="both"/>
        <w:rPr>
          <w:rFonts w:ascii="Book Antiqua" w:eastAsia="Times New Roman" w:hAnsi="Book Antiqua" w:cs="Times New Roman"/>
          <w:spacing w:val="-3"/>
          <w:sz w:val="24"/>
          <w:szCs w:val="24"/>
        </w:rPr>
      </w:pPr>
    </w:p>
    <w:p w14:paraId="15B3FEE6" w14:textId="77777777" w:rsidR="003E3EC9" w:rsidRDefault="00E84279" w:rsidP="00035F66">
      <w:pPr>
        <w:rPr>
          <w:rFonts w:ascii="Book Antiqua" w:hAnsi="Book Antiqua"/>
          <w:sz w:val="24"/>
          <w:szCs w:val="24"/>
        </w:rPr>
      </w:pPr>
      <w:r w:rsidRPr="009E0621">
        <w:rPr>
          <w:rFonts w:ascii="Book Antiqua" w:eastAsia="Times New Roman" w:hAnsi="Book Antiqua" w:cs="Times New Roman"/>
          <w:spacing w:val="-3"/>
          <w:sz w:val="24"/>
          <w:szCs w:val="24"/>
        </w:rPr>
        <w:t>6.2.A.</w:t>
      </w:r>
      <w:r w:rsidRPr="009E0621">
        <w:rPr>
          <w:rFonts w:ascii="Book Antiqua" w:eastAsia="Times New Roman" w:hAnsi="Book Antiqua" w:cs="Times New Roman"/>
          <w:spacing w:val="-3"/>
          <w:sz w:val="24"/>
          <w:szCs w:val="24"/>
        </w:rPr>
        <w:tab/>
        <w:t>Administrative Appeal</w:t>
      </w:r>
      <w:r w:rsidR="00D148D4" w:rsidRPr="009E0621">
        <w:rPr>
          <w:rFonts w:ascii="Book Antiqua" w:eastAsia="Times New Roman" w:hAnsi="Book Antiqua" w:cs="Times New Roman"/>
          <w:spacing w:val="-3"/>
          <w:sz w:val="24"/>
          <w:szCs w:val="24"/>
        </w:rPr>
        <w:t xml:space="preserve">s of Code Enforcement Officer Decisions. </w:t>
      </w:r>
      <w:r w:rsidRPr="009E0621">
        <w:rPr>
          <w:rFonts w:ascii="Book Antiqua" w:eastAsia="Times New Roman" w:hAnsi="Book Antiqua" w:cs="Times New Roman"/>
          <w:spacing w:val="-3"/>
          <w:sz w:val="24"/>
          <w:szCs w:val="24"/>
        </w:rPr>
        <w:t xml:space="preserve"> </w:t>
      </w:r>
      <w:r w:rsidR="003E3EC9" w:rsidRPr="009E0621">
        <w:rPr>
          <w:rFonts w:ascii="Book Antiqua" w:hAnsi="Book Antiqua"/>
          <w:sz w:val="24"/>
          <w:szCs w:val="24"/>
        </w:rPr>
        <w:t xml:space="preserve">Any person aggrieved by a decision of the Code Enforcement Officer may appeal such a decision to the Board within 30 days of the written decision.  Appeals from decisions of the Code Enforcement Officer are de novo.  The Code Enforcement Officer must transmit to the Board the decision and all documents and other evidence on which the decision was based, which may be considered as evidence in the de novo proceeding.  The Board must conduct a public hearing.  The standard of review is whether, </w:t>
      </w:r>
      <w:proofErr w:type="gramStart"/>
      <w:r w:rsidR="003E3EC9" w:rsidRPr="009E0621">
        <w:rPr>
          <w:rFonts w:ascii="Book Antiqua" w:hAnsi="Book Antiqua"/>
          <w:sz w:val="24"/>
          <w:szCs w:val="24"/>
        </w:rPr>
        <w:t>on the basis of</w:t>
      </w:r>
      <w:proofErr w:type="gramEnd"/>
      <w:r w:rsidR="003E3EC9" w:rsidRPr="009E0621">
        <w:rPr>
          <w:rFonts w:ascii="Book Antiqua" w:hAnsi="Book Antiqua"/>
          <w:sz w:val="24"/>
          <w:szCs w:val="24"/>
        </w:rPr>
        <w:t xml:space="preserve"> the evidence before the Board, the application complies with the requirements of the Zoning Ordinance.  The burden of proof is on the applicant for the permit or approval.  The Board has the authority to grant, grant with conditions, or deny a permit or approval. </w:t>
      </w:r>
    </w:p>
    <w:p w14:paraId="5BBEAE87" w14:textId="77777777" w:rsidR="005D7741" w:rsidRPr="00423BE8" w:rsidRDefault="005D7741" w:rsidP="00035F66">
      <w:pPr>
        <w:rPr>
          <w:rFonts w:ascii="Book Antiqua" w:hAnsi="Book Antiqua"/>
          <w:sz w:val="24"/>
          <w:szCs w:val="24"/>
        </w:rPr>
      </w:pPr>
      <w:r w:rsidRPr="00423BE8">
        <w:rPr>
          <w:rFonts w:ascii="Book Antiqua" w:hAnsi="Book Antiqua"/>
          <w:sz w:val="24"/>
          <w:szCs w:val="24"/>
        </w:rPr>
        <w:t xml:space="preserve">6.2.A.1 Notwithstanding Section 6.2.A, notice of violation, enforcement orders, suspension or revocations of permits or approvals, written determinations of no violation, or any other enforcement decisions of the Code Enforcement Officer are advisory only and may not be appealed to the Board. </w:t>
      </w:r>
    </w:p>
    <w:p w14:paraId="3ECC8E26" w14:textId="73FBCEFE" w:rsidR="00E84279" w:rsidRPr="00E84279" w:rsidRDefault="00E84279" w:rsidP="00035F66">
      <w:pPr>
        <w:widowControl w:val="0"/>
        <w:tabs>
          <w:tab w:val="left" w:pos="-1170"/>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16"/>
          <w:szCs w:val="16"/>
        </w:rPr>
      </w:pPr>
      <w:r w:rsidRPr="00E84279">
        <w:rPr>
          <w:rFonts w:ascii="Book Antiqua" w:eastAsia="Times New Roman" w:hAnsi="Book Antiqua" w:cs="Times New Roman"/>
          <w:spacing w:val="-3"/>
          <w:sz w:val="24"/>
          <w:szCs w:val="24"/>
        </w:rPr>
        <w:t>6.2.B.</w:t>
      </w:r>
      <w:r w:rsidRPr="00E84279">
        <w:rPr>
          <w:rFonts w:ascii="Book Antiqua" w:eastAsia="Times New Roman" w:hAnsi="Book Antiqua" w:cs="Times New Roman"/>
          <w:spacing w:val="-3"/>
          <w:sz w:val="24"/>
          <w:szCs w:val="24"/>
        </w:rPr>
        <w:tab/>
      </w:r>
      <w:r w:rsidR="001B6563">
        <w:rPr>
          <w:rFonts w:ascii="Book Antiqua" w:eastAsia="Times New Roman" w:hAnsi="Book Antiqua" w:cs="Times New Roman"/>
          <w:spacing w:val="-3"/>
          <w:sz w:val="24"/>
          <w:szCs w:val="24"/>
        </w:rPr>
        <w:t xml:space="preserve"> </w:t>
      </w:r>
      <w:r w:rsidRPr="00E84279">
        <w:rPr>
          <w:rFonts w:ascii="Book Antiqua" w:eastAsia="Times New Roman" w:hAnsi="Book Antiqua" w:cs="Times New Roman"/>
          <w:spacing w:val="-3"/>
          <w:sz w:val="24"/>
          <w:szCs w:val="24"/>
        </w:rPr>
        <w:t>Variance Appeals.  The Board may grant a Variance only from the term</w:t>
      </w:r>
      <w:r w:rsidR="009179C7">
        <w:rPr>
          <w:rFonts w:ascii="Book Antiqua" w:eastAsia="Times New Roman" w:hAnsi="Book Antiqua" w:cs="Times New Roman"/>
          <w:spacing w:val="-3"/>
          <w:sz w:val="24"/>
          <w:szCs w:val="24"/>
        </w:rPr>
        <w:t xml:space="preserve"> </w:t>
      </w:r>
      <w:r w:rsidRPr="00E84279">
        <w:rPr>
          <w:rFonts w:ascii="Book Antiqua" w:eastAsia="Times New Roman" w:hAnsi="Book Antiqua" w:cs="Times New Roman"/>
          <w:spacing w:val="-3"/>
          <w:sz w:val="24"/>
          <w:szCs w:val="24"/>
        </w:rPr>
        <w:t xml:space="preserve">of this Ordinance which impose restrictions on height, buildable area, lot coverage, lot size or setback and only where strict application of those terms to the petitioner and his property would cause undue hardship to the petitioner, owing solely to conditions peculiar to the property and not the result of actions of the petitioner.  A financial hardship shall not constitute grounds for granting a Variance.  The crucial points for obtaining a Variance are undue hardship and unique circumstances applying to the property, neither of which are </w:t>
      </w:r>
      <w:r w:rsidRPr="00E84279">
        <w:rPr>
          <w:rFonts w:ascii="Book Antiqua" w:eastAsia="Times New Roman" w:hAnsi="Book Antiqua" w:cs="Times New Roman"/>
          <w:spacing w:val="-3"/>
          <w:sz w:val="24"/>
          <w:szCs w:val="24"/>
        </w:rPr>
        <w:lastRenderedPageBreak/>
        <w:t>the results of actions taken by the applicant or a prior owner.  A Variance shall not be granted unless all four elements contained in the definition of undue hardship in Article 2 are presented to the Board.  In granting Variance appeals, the Board may prescribe such conditions and safeguards as are appropriate under the Ordinance.  In areas of Special Flood Hazard, as established in Article 3.3, permits shall be issued according to the provisions of Article 14 of this Ordinance, without regard to section 5.5</w:t>
      </w:r>
      <w:r w:rsidR="0087569F">
        <w:rPr>
          <w:rFonts w:ascii="Book Antiqua" w:eastAsia="Times New Roman" w:hAnsi="Book Antiqua" w:cs="Times New Roman"/>
          <w:spacing w:val="-3"/>
          <w:sz w:val="24"/>
          <w:szCs w:val="24"/>
        </w:rPr>
        <w:t>.</w:t>
      </w:r>
    </w:p>
    <w:p w14:paraId="3ECC8E27" w14:textId="77777777" w:rsidR="00E84279" w:rsidRDefault="00E84279" w:rsidP="00E84279">
      <w:pPr>
        <w:suppressAutoHyphens/>
        <w:spacing w:after="0" w:line="240" w:lineRule="atLeast"/>
        <w:jc w:val="both"/>
        <w:rPr>
          <w:rFonts w:ascii="Book Antiqua" w:eastAsia="Times New Roman" w:hAnsi="Book Antiqua" w:cs="Times New Roman"/>
          <w:spacing w:val="-3"/>
          <w:sz w:val="24"/>
          <w:szCs w:val="24"/>
        </w:rPr>
      </w:pPr>
    </w:p>
    <w:p w14:paraId="3ECC8E28" w14:textId="77777777" w:rsidR="00E76FBA" w:rsidRPr="00E84279" w:rsidRDefault="00E76FBA" w:rsidP="00E84279">
      <w:pPr>
        <w:suppressAutoHyphens/>
        <w:spacing w:after="0" w:line="240" w:lineRule="atLeast"/>
        <w:jc w:val="both"/>
        <w:rPr>
          <w:rFonts w:ascii="Book Antiqua" w:eastAsia="Times New Roman" w:hAnsi="Book Antiqua" w:cs="Times New Roman"/>
          <w:spacing w:val="-3"/>
          <w:sz w:val="24"/>
          <w:szCs w:val="24"/>
        </w:rPr>
      </w:pPr>
    </w:p>
    <w:p w14:paraId="3ECC8E29" w14:textId="77777777" w:rsidR="00E84279" w:rsidRPr="00E84279" w:rsidRDefault="00E84279" w:rsidP="00035F66">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6.2.B.1. Notwithstanding the above requirements and the definition of undue hardship in Article 2, the Board may grant a Variance to a property owner for the purpose of making that property accessible to a person with a disability who is living on the property.  The Board shall restrict any Variance granted under this paragraph solely to the installation of equipment or the construction of structures necessary for access to or egress from the property by the person with the disability.  The Board may impose conditions on the Variance, including limiting the Variance to the duration of the disability or to the time that the person with the disability lives on the property.  For the purposes of this paragraph, a disability has the same meaning as a physical or mental handicap under Title 5 MRSA, Section 4553 and the term "structures necessary for access to or egress from the property" is defined to include railing, wall or roof systems necessary for the safety or effectiveness of the structure.</w:t>
      </w:r>
    </w:p>
    <w:p w14:paraId="3ECC8E2A" w14:textId="77777777" w:rsidR="00E84279" w:rsidRPr="00E84279" w:rsidRDefault="00E84279" w:rsidP="00E84279">
      <w:pPr>
        <w:suppressAutoHyphens/>
        <w:spacing w:after="0" w:line="240" w:lineRule="atLeast"/>
        <w:jc w:val="both"/>
        <w:rPr>
          <w:rFonts w:ascii="Book Antiqua" w:eastAsia="Times New Roman" w:hAnsi="Book Antiqua" w:cs="Times New Roman"/>
          <w:spacing w:val="-3"/>
          <w:sz w:val="24"/>
          <w:szCs w:val="24"/>
        </w:rPr>
      </w:pPr>
    </w:p>
    <w:p w14:paraId="3ECC8E2B" w14:textId="37A94654" w:rsidR="00E84279" w:rsidRPr="00E84279" w:rsidRDefault="00E84279" w:rsidP="00035F66">
      <w:pPr>
        <w:spacing w:after="120" w:line="240" w:lineRule="auto"/>
        <w:jc w:val="both"/>
        <w:rPr>
          <w:rFonts w:ascii="Book Antiqua" w:eastAsia="Times New Roman" w:hAnsi="Book Antiqua" w:cs="Times New Roman"/>
          <w:sz w:val="24"/>
          <w:szCs w:val="24"/>
        </w:rPr>
      </w:pPr>
      <w:r w:rsidRPr="00E84279">
        <w:rPr>
          <w:rFonts w:ascii="Book Antiqua" w:eastAsia="Times New Roman" w:hAnsi="Book Antiqua" w:cs="Times New Roman"/>
          <w:sz w:val="24"/>
          <w:szCs w:val="24"/>
        </w:rPr>
        <w:t xml:space="preserve">6.2.B.2. Notwithstanding the above requirements and the definition of undue hardship in Article 2, </w:t>
      </w:r>
      <w:r w:rsidRPr="00E84279">
        <w:rPr>
          <w:rFonts w:ascii="Book Antiqua" w:eastAsia="Times New Roman" w:hAnsi="Book Antiqua" w:cs="Times New Roman"/>
          <w:sz w:val="24"/>
          <w:szCs w:val="24"/>
        </w:rPr>
        <w:tab/>
        <w:t xml:space="preserve">the Board may grant a setback or yard width Variance for a </w:t>
      </w:r>
      <w:r w:rsidR="001B6563" w:rsidRPr="00E84279">
        <w:rPr>
          <w:rFonts w:ascii="Book Antiqua" w:eastAsia="Times New Roman" w:hAnsi="Book Antiqua" w:cs="Times New Roman"/>
          <w:sz w:val="24"/>
          <w:szCs w:val="24"/>
        </w:rPr>
        <w:t>single-family</w:t>
      </w:r>
      <w:r w:rsidRPr="00E84279">
        <w:rPr>
          <w:rFonts w:ascii="Book Antiqua" w:eastAsia="Times New Roman" w:hAnsi="Book Antiqua" w:cs="Times New Roman"/>
          <w:sz w:val="24"/>
          <w:szCs w:val="24"/>
        </w:rPr>
        <w:t xml:space="preserve"> dwelling without the need for the Board to determine that the land in question cannot yield a reasonable return unless the Variance is granted.  When considering a request for a Variance under this paragraph the Board shall in addition to determining the remaining three aspects of undue hardship are met, determine that granting the Variance will not substantially reduce or impair the use of abutting property and that granting the Variance is based upon demonstrated need, not convenience and no other feasible alternative is available which meets the setback requirements.  A Variance granted under this paragraph is strictly limited to those from setback and yard width requirements for single family dwelling that is the primary year-round residence of the applicant.  A Variance granted under this paragraph may not exceed 20% of a setback or yard width requirement and may not be granted if the Variance would cause the area of the dwelling to exceed the maximum permissible lot coverage.</w:t>
      </w:r>
    </w:p>
    <w:p w14:paraId="3ECC8E2C" w14:textId="77777777" w:rsidR="00E84279" w:rsidRPr="00E84279" w:rsidRDefault="00E84279" w:rsidP="00E84279">
      <w:pPr>
        <w:tabs>
          <w:tab w:val="left" w:pos="1080"/>
        </w:tabs>
        <w:suppressAutoHyphens/>
        <w:spacing w:after="0" w:line="240" w:lineRule="atLeast"/>
        <w:ind w:left="1080"/>
        <w:jc w:val="both"/>
        <w:rPr>
          <w:rFonts w:ascii="Book Antiqua" w:eastAsia="Times New Roman" w:hAnsi="Book Antiqua" w:cs="Times New Roman"/>
          <w:spacing w:val="-3"/>
          <w:sz w:val="24"/>
          <w:szCs w:val="24"/>
        </w:rPr>
      </w:pPr>
    </w:p>
    <w:p w14:paraId="3ECC8E2D" w14:textId="42DB58B6" w:rsidR="0087569F" w:rsidRDefault="00E84279" w:rsidP="00035F66">
      <w:pPr>
        <w:tabs>
          <w:tab w:val="left" w:pos="1080"/>
        </w:tabs>
        <w:spacing w:after="0" w:line="240" w:lineRule="auto"/>
        <w:jc w:val="both"/>
        <w:rPr>
          <w:rFonts w:ascii="Book Antiqua" w:eastAsia="Times New Roman" w:hAnsi="Book Antiqua" w:cs="Times New Roman"/>
          <w:sz w:val="24"/>
          <w:szCs w:val="24"/>
        </w:rPr>
      </w:pPr>
      <w:r w:rsidRPr="00E84279">
        <w:rPr>
          <w:rFonts w:ascii="Book Antiqua" w:eastAsia="Times New Roman" w:hAnsi="Book Antiqua" w:cs="Times New Roman"/>
          <w:sz w:val="24"/>
          <w:szCs w:val="24"/>
        </w:rPr>
        <w:t xml:space="preserve">6.2.B.3.  If the Board grants a variance under this section, a certificate indicating the name of the current property owner, identifying the property by reference to the last recorded deed in its chain of title and indicating the fact that a variance, including any conditions on the variance, has been granted and the date of the granting, shall be prepared in recordable form. The applicant is responsible for the recording of this certificate in the York County Registry of Deeds within 90 days of the date of the final written approval of </w:t>
      </w:r>
      <w:r w:rsidRPr="00E84279">
        <w:rPr>
          <w:rFonts w:ascii="Book Antiqua" w:eastAsia="Times New Roman" w:hAnsi="Book Antiqua" w:cs="Times New Roman"/>
          <w:sz w:val="24"/>
          <w:szCs w:val="24"/>
        </w:rPr>
        <w:lastRenderedPageBreak/>
        <w:t xml:space="preserve">the variance </w:t>
      </w:r>
      <w:proofErr w:type="gramStart"/>
      <w:r w:rsidRPr="00E84279">
        <w:rPr>
          <w:rFonts w:ascii="Book Antiqua" w:eastAsia="Times New Roman" w:hAnsi="Book Antiqua" w:cs="Times New Roman"/>
          <w:sz w:val="24"/>
          <w:szCs w:val="24"/>
        </w:rPr>
        <w:t>or</w:t>
      </w:r>
      <w:proofErr w:type="gramEnd"/>
      <w:r w:rsidRPr="00E84279">
        <w:rPr>
          <w:rFonts w:ascii="Book Antiqua" w:eastAsia="Times New Roman" w:hAnsi="Book Antiqua" w:cs="Times New Roman"/>
          <w:sz w:val="24"/>
          <w:szCs w:val="24"/>
        </w:rPr>
        <w:t xml:space="preserve"> the variance is void.  The variance is not valid until recorded as provided in this subsection.  For the purpose of this subsection, the date of the final written approval shall be the date stated on the written approval. Added June 15, 2002</w:t>
      </w:r>
      <w:r w:rsidR="00B073AA">
        <w:rPr>
          <w:rFonts w:ascii="Book Antiqua" w:eastAsia="Times New Roman" w:hAnsi="Book Antiqua" w:cs="Times New Roman"/>
          <w:sz w:val="24"/>
          <w:szCs w:val="24"/>
        </w:rPr>
        <w:t xml:space="preserve">. </w:t>
      </w:r>
    </w:p>
    <w:p w14:paraId="44263076" w14:textId="77777777" w:rsidR="002D27AD" w:rsidRDefault="002D27AD" w:rsidP="0087569F">
      <w:pPr>
        <w:tabs>
          <w:tab w:val="left" w:pos="1080"/>
        </w:tabs>
        <w:spacing w:after="0" w:line="240" w:lineRule="auto"/>
        <w:ind w:left="1080"/>
        <w:jc w:val="both"/>
        <w:rPr>
          <w:rFonts w:ascii="Book Antiqua" w:eastAsia="Times New Roman" w:hAnsi="Book Antiqua" w:cs="Times New Roman"/>
          <w:sz w:val="24"/>
          <w:szCs w:val="24"/>
        </w:rPr>
      </w:pPr>
    </w:p>
    <w:p w14:paraId="15FB0685" w14:textId="43974246" w:rsidR="00423BE8" w:rsidRPr="002D27AD" w:rsidRDefault="00B23661" w:rsidP="00035F66">
      <w:pPr>
        <w:rPr>
          <w:rFonts w:ascii="Book Antiqua" w:hAnsi="Book Antiqua"/>
          <w:sz w:val="24"/>
          <w:szCs w:val="24"/>
        </w:rPr>
      </w:pPr>
      <w:r w:rsidRPr="00B23661">
        <w:rPr>
          <w:rFonts w:ascii="Book Antiqua" w:hAnsi="Book Antiqua"/>
          <w:sz w:val="24"/>
          <w:szCs w:val="24"/>
        </w:rPr>
        <w:t>6.2.C Appeals of Planning Board Decisions, Decisions of the Planning Board may not be appealed to the Board.  Any person aggrieved by a decision of the Planning Board may appeal such decision</w:t>
      </w:r>
      <w:r w:rsidR="0001040E">
        <w:rPr>
          <w:rFonts w:ascii="Book Antiqua" w:hAnsi="Book Antiqua"/>
          <w:sz w:val="24"/>
          <w:szCs w:val="24"/>
        </w:rPr>
        <w:t>s</w:t>
      </w:r>
      <w:r w:rsidRPr="00B23661">
        <w:rPr>
          <w:rFonts w:ascii="Book Antiqua" w:hAnsi="Book Antiqua"/>
          <w:sz w:val="24"/>
          <w:szCs w:val="24"/>
        </w:rPr>
        <w:t xml:space="preserve"> directly to the Maine Superior Court in accordance with Rule 80B of the Maine Rules of Civil Procedure. </w:t>
      </w:r>
    </w:p>
    <w:p w14:paraId="3ECC8E2E" w14:textId="77777777" w:rsidR="00E76FBA" w:rsidRDefault="00E76FBA" w:rsidP="002D27AD">
      <w:pPr>
        <w:tabs>
          <w:tab w:val="left" w:pos="1080"/>
        </w:tabs>
        <w:spacing w:after="0" w:line="240" w:lineRule="auto"/>
        <w:jc w:val="both"/>
        <w:rPr>
          <w:rFonts w:ascii="Book Antiqua" w:eastAsia="Times New Roman" w:hAnsi="Book Antiqua" w:cs="Times New Roman"/>
          <w:sz w:val="24"/>
          <w:szCs w:val="24"/>
        </w:rPr>
      </w:pPr>
    </w:p>
    <w:p w14:paraId="3ECC8E2F" w14:textId="77777777" w:rsidR="00E84279" w:rsidRPr="0087569F" w:rsidRDefault="00E84279" w:rsidP="0087569F">
      <w:pPr>
        <w:tabs>
          <w:tab w:val="left" w:pos="450"/>
          <w:tab w:val="left" w:pos="900"/>
        </w:tabs>
        <w:spacing w:after="0" w:line="240" w:lineRule="auto"/>
        <w:ind w:left="450" w:hanging="450"/>
        <w:jc w:val="both"/>
        <w:rPr>
          <w:rFonts w:ascii="Book Antiqua" w:eastAsia="Times New Roman" w:hAnsi="Book Antiqua" w:cs="Times New Roman"/>
          <w:sz w:val="24"/>
          <w:szCs w:val="24"/>
        </w:rPr>
      </w:pPr>
      <w:proofErr w:type="gramStart"/>
      <w:r w:rsidRPr="00E84279">
        <w:rPr>
          <w:rFonts w:ascii="Book Antiqua" w:eastAsia="Times New Roman" w:hAnsi="Book Antiqua" w:cs="Times New Roman"/>
          <w:b/>
          <w:bCs/>
          <w:spacing w:val="-3"/>
          <w:sz w:val="24"/>
          <w:szCs w:val="24"/>
        </w:rPr>
        <w:t>6.3  Appeal</w:t>
      </w:r>
      <w:proofErr w:type="gramEnd"/>
      <w:r w:rsidRPr="00E84279">
        <w:rPr>
          <w:rFonts w:ascii="Book Antiqua" w:eastAsia="Times New Roman" w:hAnsi="Book Antiqua" w:cs="Times New Roman"/>
          <w:b/>
          <w:bCs/>
          <w:spacing w:val="-3"/>
          <w:sz w:val="24"/>
          <w:szCs w:val="24"/>
        </w:rPr>
        <w:t xml:space="preserve"> Procedure.</w:t>
      </w:r>
    </w:p>
    <w:p w14:paraId="3ECC8E30" w14:textId="77777777" w:rsidR="00E84279" w:rsidRPr="00E84279" w:rsidRDefault="00E84279" w:rsidP="00E84279">
      <w:pPr>
        <w:suppressAutoHyphens/>
        <w:spacing w:after="0" w:line="240" w:lineRule="atLeast"/>
        <w:jc w:val="both"/>
        <w:rPr>
          <w:rFonts w:ascii="Book Antiqua" w:eastAsia="Times New Roman" w:hAnsi="Book Antiqua" w:cs="Times New Roman"/>
          <w:spacing w:val="-3"/>
          <w:sz w:val="24"/>
          <w:szCs w:val="24"/>
        </w:rPr>
      </w:pPr>
    </w:p>
    <w:p w14:paraId="3ECC8E31" w14:textId="77777777" w:rsidR="00E84279" w:rsidRPr="00E84279" w:rsidRDefault="00E84279" w:rsidP="00035F66">
      <w:pPr>
        <w:suppressAutoHyphens/>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6.3.A.</w:t>
      </w:r>
      <w:r w:rsidRPr="00E84279">
        <w:rPr>
          <w:rFonts w:ascii="Book Antiqua" w:eastAsia="Times New Roman" w:hAnsi="Book Antiqua" w:cs="Times New Roman"/>
          <w:spacing w:val="-3"/>
          <w:sz w:val="24"/>
          <w:szCs w:val="24"/>
        </w:rPr>
        <w:tab/>
        <w:t>The Chairman shall call hearings of the Board as required.  The Chairman shall also call hearings of the Board when requested to do so by a majority of the members or by the Municipal Officers.  The Chairman, or in his absence, the Vice-Chairman shall preside at all hearings of the Board and be the official spokesman of the Board.</w:t>
      </w:r>
    </w:p>
    <w:p w14:paraId="3ECC8E32" w14:textId="77777777" w:rsidR="00E84279" w:rsidRPr="00E84279" w:rsidRDefault="00E84279" w:rsidP="00E84279">
      <w:pPr>
        <w:suppressAutoHyphens/>
        <w:spacing w:after="0" w:line="240" w:lineRule="atLeast"/>
        <w:ind w:left="720"/>
        <w:jc w:val="both"/>
        <w:rPr>
          <w:rFonts w:ascii="Book Antiqua" w:eastAsia="Times New Roman" w:hAnsi="Book Antiqua" w:cs="Times New Roman"/>
          <w:spacing w:val="-3"/>
          <w:sz w:val="24"/>
          <w:szCs w:val="24"/>
        </w:rPr>
      </w:pPr>
    </w:p>
    <w:p w14:paraId="3ECC8E33" w14:textId="77777777" w:rsidR="00E84279" w:rsidRPr="00E84279" w:rsidRDefault="00E84279" w:rsidP="00035F66">
      <w:pPr>
        <w:suppressAutoHyphens/>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6.3.B.</w:t>
      </w:r>
      <w:r w:rsidRPr="00E84279">
        <w:rPr>
          <w:rFonts w:ascii="Book Antiqua" w:eastAsia="Times New Roman" w:hAnsi="Book Antiqua" w:cs="Times New Roman"/>
          <w:spacing w:val="-3"/>
          <w:sz w:val="24"/>
          <w:szCs w:val="24"/>
        </w:rPr>
        <w:tab/>
        <w:t>The Secretary shall maintain a permanent record of all Board hearings and all correspondence of the Board.  The Secretary shall be responsible for maintaining those records which are required as part of the various proceedings which may be brought before the Board.  All records to be maintained or prepared by the Secretary are deemed public and shall be filed in the municipal clerk's office and may be inspected at reasonable times.</w:t>
      </w:r>
    </w:p>
    <w:p w14:paraId="3ECC8E34" w14:textId="77777777" w:rsidR="00E84279" w:rsidRPr="00E84279" w:rsidRDefault="00E84279" w:rsidP="00E84279">
      <w:pPr>
        <w:suppressAutoHyphens/>
        <w:spacing w:after="0" w:line="240" w:lineRule="atLeast"/>
        <w:ind w:left="720"/>
        <w:jc w:val="both"/>
        <w:rPr>
          <w:rFonts w:ascii="Book Antiqua" w:eastAsia="Times New Roman" w:hAnsi="Book Antiqua" w:cs="Times New Roman"/>
          <w:spacing w:val="-3"/>
          <w:sz w:val="24"/>
          <w:szCs w:val="24"/>
        </w:rPr>
      </w:pPr>
    </w:p>
    <w:p w14:paraId="3ECC8E35" w14:textId="57C4455F" w:rsidR="00E84279" w:rsidRPr="00E84279" w:rsidRDefault="00E84279" w:rsidP="00035F66">
      <w:pPr>
        <w:suppressAutoHyphens/>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6.3.C.</w:t>
      </w:r>
      <w:r w:rsidRPr="00E84279">
        <w:rPr>
          <w:rFonts w:ascii="Book Antiqua" w:eastAsia="Times New Roman" w:hAnsi="Book Antiqua" w:cs="Times New Roman"/>
          <w:spacing w:val="-3"/>
          <w:sz w:val="24"/>
          <w:szCs w:val="24"/>
        </w:rPr>
        <w:tab/>
        <w:t xml:space="preserve">Notification of an appeal shall be filed with the Board in writing on forms provided for that purpose.  The specific grounds for the appeal shall be set forth on the application.  The application shall be accompanied by a fee </w:t>
      </w:r>
      <w:r w:rsidR="00762EAA">
        <w:rPr>
          <w:rFonts w:ascii="Book Antiqua" w:eastAsia="Times New Roman" w:hAnsi="Book Antiqua" w:cs="Times New Roman"/>
          <w:spacing w:val="-3"/>
          <w:sz w:val="24"/>
          <w:szCs w:val="24"/>
        </w:rPr>
        <w:t>as provided in Section 5.8</w:t>
      </w:r>
      <w:r w:rsidRPr="00E84279">
        <w:rPr>
          <w:rFonts w:ascii="Book Antiqua" w:eastAsia="Times New Roman" w:hAnsi="Book Antiqua" w:cs="Times New Roman"/>
          <w:spacing w:val="-3"/>
          <w:sz w:val="24"/>
          <w:szCs w:val="24"/>
        </w:rPr>
        <w:t xml:space="preserve">.  The Board shall hold a Public Hearing within thirty </w:t>
      </w:r>
      <w:r w:rsidR="001D4DFB">
        <w:rPr>
          <w:rFonts w:ascii="Book Antiqua" w:eastAsia="Times New Roman" w:hAnsi="Book Antiqua" w:cs="Times New Roman"/>
          <w:spacing w:val="-3"/>
          <w:sz w:val="24"/>
          <w:szCs w:val="24"/>
        </w:rPr>
        <w:t xml:space="preserve">(30) </w:t>
      </w:r>
      <w:r w:rsidRPr="00E84279">
        <w:rPr>
          <w:rFonts w:ascii="Book Antiqua" w:eastAsia="Times New Roman" w:hAnsi="Book Antiqua" w:cs="Times New Roman"/>
          <w:spacing w:val="-3"/>
          <w:sz w:val="24"/>
          <w:szCs w:val="24"/>
        </w:rPr>
        <w:t>days of receipt of an application.</w:t>
      </w:r>
    </w:p>
    <w:p w14:paraId="3ECC8E36" w14:textId="77777777" w:rsidR="00E84279" w:rsidRPr="00E84279" w:rsidRDefault="00E84279" w:rsidP="00E84279">
      <w:pPr>
        <w:suppressAutoHyphens/>
        <w:spacing w:after="0" w:line="240" w:lineRule="atLeast"/>
        <w:ind w:left="720"/>
        <w:jc w:val="both"/>
        <w:rPr>
          <w:rFonts w:ascii="Book Antiqua" w:eastAsia="Times New Roman" w:hAnsi="Book Antiqua" w:cs="Times New Roman"/>
          <w:spacing w:val="-3"/>
          <w:sz w:val="24"/>
          <w:szCs w:val="24"/>
        </w:rPr>
      </w:pPr>
    </w:p>
    <w:p w14:paraId="3ECC8E37" w14:textId="4C83249B" w:rsidR="00E84279" w:rsidRPr="00E84279" w:rsidRDefault="00E84279" w:rsidP="00035F66">
      <w:pPr>
        <w:suppressAutoHyphens/>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6.3.D.</w:t>
      </w:r>
      <w:r w:rsidRPr="00E84279">
        <w:rPr>
          <w:rFonts w:ascii="Book Antiqua" w:eastAsia="Times New Roman" w:hAnsi="Book Antiqua" w:cs="Times New Roman"/>
          <w:spacing w:val="-3"/>
          <w:sz w:val="24"/>
          <w:szCs w:val="24"/>
        </w:rPr>
        <w:tab/>
        <w:t>The Board shall reasonably notify of any hearing, the petitioner, the Code Enforcement Officer and Municipal Officers, and such persons shall be made parties to the action.  The Board shall notify by certified mail all owners of property abutting the property for which an appeal is taken of the nature of the appeal and the time and place of the hearing thereon</w:t>
      </w:r>
      <w:r w:rsidR="00EB5839">
        <w:rPr>
          <w:rFonts w:ascii="Book Antiqua" w:eastAsia="Times New Roman" w:hAnsi="Book Antiqua" w:cs="Times New Roman"/>
          <w:spacing w:val="-3"/>
          <w:sz w:val="24"/>
          <w:szCs w:val="24"/>
        </w:rPr>
        <w:t xml:space="preserve"> at least seven (7) days prior to the hearing</w:t>
      </w:r>
      <w:r w:rsidRPr="00E84279">
        <w:rPr>
          <w:rFonts w:ascii="Book Antiqua" w:eastAsia="Times New Roman" w:hAnsi="Book Antiqua" w:cs="Times New Roman"/>
          <w:spacing w:val="-3"/>
          <w:sz w:val="24"/>
          <w:szCs w:val="24"/>
        </w:rPr>
        <w:t xml:space="preserve">.  Owners of property shall </w:t>
      </w:r>
      <w:proofErr w:type="gramStart"/>
      <w:r w:rsidRPr="00E84279">
        <w:rPr>
          <w:rFonts w:ascii="Book Antiqua" w:eastAsia="Times New Roman" w:hAnsi="Book Antiqua" w:cs="Times New Roman"/>
          <w:spacing w:val="-3"/>
          <w:sz w:val="24"/>
          <w:szCs w:val="24"/>
        </w:rPr>
        <w:t>be considered to be</w:t>
      </w:r>
      <w:proofErr w:type="gramEnd"/>
      <w:r w:rsidRPr="00E84279">
        <w:rPr>
          <w:rFonts w:ascii="Book Antiqua" w:eastAsia="Times New Roman" w:hAnsi="Book Antiqua" w:cs="Times New Roman"/>
          <w:spacing w:val="-3"/>
          <w:sz w:val="24"/>
          <w:szCs w:val="24"/>
        </w:rPr>
        <w:t xml:space="preserve"> those against whom taxes are assessed.  Failure of any property owner to receive such notice of hearing shall not necessitate another hearing nor invalidate any action by the Board.  The Board shall publish a notice of appeal at least once in </w:t>
      </w:r>
      <w:proofErr w:type="gramStart"/>
      <w:r w:rsidRPr="00E84279">
        <w:rPr>
          <w:rFonts w:ascii="Book Antiqua" w:eastAsia="Times New Roman" w:hAnsi="Book Antiqua" w:cs="Times New Roman"/>
          <w:spacing w:val="-3"/>
          <w:sz w:val="24"/>
          <w:szCs w:val="24"/>
        </w:rPr>
        <w:t>newspaper</w:t>
      </w:r>
      <w:proofErr w:type="gramEnd"/>
      <w:r w:rsidRPr="00E84279">
        <w:rPr>
          <w:rFonts w:ascii="Book Antiqua" w:eastAsia="Times New Roman" w:hAnsi="Book Antiqua" w:cs="Times New Roman"/>
          <w:spacing w:val="-3"/>
          <w:sz w:val="24"/>
          <w:szCs w:val="24"/>
        </w:rPr>
        <w:t xml:space="preserve"> of general circulation in the area at least seven </w:t>
      </w:r>
      <w:r w:rsidR="00EB5839">
        <w:rPr>
          <w:rFonts w:ascii="Book Antiqua" w:eastAsia="Times New Roman" w:hAnsi="Book Antiqua" w:cs="Times New Roman"/>
          <w:spacing w:val="-3"/>
          <w:sz w:val="24"/>
          <w:szCs w:val="24"/>
        </w:rPr>
        <w:t xml:space="preserve">(7) </w:t>
      </w:r>
      <w:r w:rsidRPr="00E84279">
        <w:rPr>
          <w:rFonts w:ascii="Book Antiqua" w:eastAsia="Times New Roman" w:hAnsi="Book Antiqua" w:cs="Times New Roman"/>
          <w:spacing w:val="-3"/>
          <w:sz w:val="24"/>
          <w:szCs w:val="24"/>
        </w:rPr>
        <w:t>days prior to the hearing.</w:t>
      </w:r>
      <w:r w:rsidR="00EB5839">
        <w:rPr>
          <w:rFonts w:ascii="Book Antiqua" w:eastAsia="Times New Roman" w:hAnsi="Book Antiqua" w:cs="Times New Roman"/>
          <w:spacing w:val="-3"/>
          <w:sz w:val="24"/>
          <w:szCs w:val="24"/>
        </w:rPr>
        <w:t xml:space="preserve"> The cost of </w:t>
      </w:r>
      <w:proofErr w:type="gramStart"/>
      <w:r w:rsidR="00EB5839">
        <w:rPr>
          <w:rFonts w:ascii="Book Antiqua" w:eastAsia="Times New Roman" w:hAnsi="Book Antiqua" w:cs="Times New Roman"/>
          <w:spacing w:val="-3"/>
          <w:sz w:val="24"/>
          <w:szCs w:val="24"/>
        </w:rPr>
        <w:t>noticing</w:t>
      </w:r>
      <w:proofErr w:type="gramEnd"/>
      <w:r w:rsidR="00EB5839">
        <w:rPr>
          <w:rFonts w:ascii="Book Antiqua" w:eastAsia="Times New Roman" w:hAnsi="Book Antiqua" w:cs="Times New Roman"/>
          <w:spacing w:val="-3"/>
          <w:sz w:val="24"/>
          <w:szCs w:val="24"/>
        </w:rPr>
        <w:t xml:space="preserve"> and advertisement shall be paid by the applicant prior to the Public Hearing.</w:t>
      </w:r>
    </w:p>
    <w:p w14:paraId="3ECC8E38" w14:textId="77777777" w:rsidR="00E84279" w:rsidRPr="00E84279" w:rsidRDefault="00E84279" w:rsidP="00E84279">
      <w:pPr>
        <w:suppressAutoHyphens/>
        <w:spacing w:after="0" w:line="240" w:lineRule="atLeast"/>
        <w:jc w:val="both"/>
        <w:rPr>
          <w:rFonts w:ascii="Book Antiqua" w:eastAsia="Times New Roman" w:hAnsi="Book Antiqua" w:cs="Times New Roman"/>
          <w:spacing w:val="-3"/>
          <w:sz w:val="24"/>
          <w:szCs w:val="24"/>
        </w:rPr>
      </w:pPr>
    </w:p>
    <w:p w14:paraId="3ECC8E39" w14:textId="77777777" w:rsidR="00E84279" w:rsidRPr="00E84279" w:rsidRDefault="00E84279" w:rsidP="00035F66">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6.3.E.</w:t>
      </w:r>
      <w:r w:rsidR="0087569F">
        <w:rPr>
          <w:rFonts w:ascii="Book Antiqua" w:eastAsia="Times New Roman" w:hAnsi="Book Antiqua" w:cs="Times New Roman"/>
          <w:spacing w:val="-3"/>
          <w:sz w:val="24"/>
          <w:szCs w:val="24"/>
        </w:rPr>
        <w:t xml:space="preserve">  </w:t>
      </w:r>
      <w:r w:rsidRPr="00E84279">
        <w:rPr>
          <w:rFonts w:ascii="Book Antiqua" w:eastAsia="Times New Roman" w:hAnsi="Book Antiqua" w:cs="Times New Roman"/>
          <w:spacing w:val="-3"/>
          <w:sz w:val="24"/>
          <w:szCs w:val="24"/>
        </w:rPr>
        <w:tab/>
        <w:t>Every party shall have the right to present his case or defense by oral or documentary evidence, to submit rebuttal evidence and to conduct such cross-examinations as may be required for a full and true disclosure of the facts.</w:t>
      </w:r>
    </w:p>
    <w:p w14:paraId="3ECC8E3A" w14:textId="77777777" w:rsidR="00E84279" w:rsidRPr="00E84279" w:rsidRDefault="00E84279" w:rsidP="00E84279">
      <w:pPr>
        <w:suppressAutoHyphens/>
        <w:spacing w:after="0" w:line="240" w:lineRule="atLeast"/>
        <w:jc w:val="both"/>
        <w:rPr>
          <w:rFonts w:ascii="Book Antiqua" w:eastAsia="Times New Roman" w:hAnsi="Book Antiqua" w:cs="Times New Roman"/>
          <w:spacing w:val="-3"/>
          <w:sz w:val="24"/>
          <w:szCs w:val="24"/>
        </w:rPr>
      </w:pPr>
    </w:p>
    <w:p w14:paraId="3ECC8E3B" w14:textId="44B751AE" w:rsidR="00E84279" w:rsidRPr="00E84279" w:rsidRDefault="00E84279" w:rsidP="00035F66">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lastRenderedPageBreak/>
        <w:t>6.3.F.</w:t>
      </w:r>
      <w:r w:rsidRPr="00E84279">
        <w:rPr>
          <w:rFonts w:ascii="Book Antiqua" w:eastAsia="Times New Roman" w:hAnsi="Book Antiqua" w:cs="Times New Roman"/>
          <w:spacing w:val="-3"/>
          <w:sz w:val="24"/>
          <w:szCs w:val="24"/>
        </w:rPr>
        <w:tab/>
      </w:r>
      <w:r w:rsidR="0087569F">
        <w:rPr>
          <w:rFonts w:ascii="Book Antiqua" w:eastAsia="Times New Roman" w:hAnsi="Book Antiqua" w:cs="Times New Roman"/>
          <w:spacing w:val="-3"/>
          <w:sz w:val="24"/>
          <w:szCs w:val="24"/>
        </w:rPr>
        <w:t xml:space="preserve">  </w:t>
      </w:r>
      <w:r w:rsidRPr="00E84279">
        <w:rPr>
          <w:rFonts w:ascii="Book Antiqua" w:eastAsia="Times New Roman" w:hAnsi="Book Antiqua" w:cs="Times New Roman"/>
          <w:spacing w:val="-3"/>
          <w:sz w:val="24"/>
          <w:szCs w:val="24"/>
        </w:rPr>
        <w:t xml:space="preserve">The transcript of testimony, if any, and exhibits together with all papers filed in a proceeding shall constitute the record.  All decisions shall be made within thirty (30) days of the hearing and shall become a part of the record and shall include a statement of findings and conclusions as well as the reasons or basis therefore, upon all the material issues of fact, law or discretion presented and the appropriate order, relief or denial thereof.  Notice of the Board's decision shall be </w:t>
      </w:r>
      <w:r w:rsidR="001B6563" w:rsidRPr="00E84279">
        <w:rPr>
          <w:rFonts w:ascii="Book Antiqua" w:eastAsia="Times New Roman" w:hAnsi="Book Antiqua" w:cs="Times New Roman"/>
          <w:spacing w:val="-3"/>
          <w:sz w:val="24"/>
          <w:szCs w:val="24"/>
        </w:rPr>
        <w:t>mailed,</w:t>
      </w:r>
      <w:r w:rsidRPr="00E84279">
        <w:rPr>
          <w:rFonts w:ascii="Book Antiqua" w:eastAsia="Times New Roman" w:hAnsi="Book Antiqua" w:cs="Times New Roman"/>
          <w:spacing w:val="-3"/>
          <w:sz w:val="24"/>
          <w:szCs w:val="24"/>
        </w:rPr>
        <w:t xml:space="preserve"> or hand delivered to the petitioner, his representative or agent, the Code Enforcement Officer, the Planning </w:t>
      </w:r>
      <w:proofErr w:type="gramStart"/>
      <w:r w:rsidRPr="00E84279">
        <w:rPr>
          <w:rFonts w:ascii="Book Antiqua" w:eastAsia="Times New Roman" w:hAnsi="Book Antiqua" w:cs="Times New Roman"/>
          <w:spacing w:val="-3"/>
          <w:sz w:val="24"/>
          <w:szCs w:val="24"/>
        </w:rPr>
        <w:t>Board</w:t>
      </w:r>
      <w:proofErr w:type="gramEnd"/>
      <w:r w:rsidRPr="00E84279">
        <w:rPr>
          <w:rFonts w:ascii="Book Antiqua" w:eastAsia="Times New Roman" w:hAnsi="Book Antiqua" w:cs="Times New Roman"/>
          <w:spacing w:val="-3"/>
          <w:sz w:val="24"/>
          <w:szCs w:val="24"/>
        </w:rPr>
        <w:t xml:space="preserve"> and the Municipal Officers within seven (7) days of such decision.  A copy of all Variances granted by the Board of Appeals within the shoreland zone shall be submitted to the Department of Environmental Protection within fourteen (14) days of the decision.</w:t>
      </w:r>
    </w:p>
    <w:p w14:paraId="3ECC8E3C" w14:textId="77777777" w:rsidR="00E84279" w:rsidRPr="00E84279" w:rsidRDefault="00E84279" w:rsidP="00E84279">
      <w:pPr>
        <w:suppressAutoHyphens/>
        <w:spacing w:after="0" w:line="240" w:lineRule="atLeast"/>
        <w:jc w:val="both"/>
        <w:rPr>
          <w:rFonts w:ascii="Book Antiqua" w:eastAsia="Times New Roman" w:hAnsi="Book Antiqua" w:cs="Times New Roman"/>
          <w:spacing w:val="-3"/>
          <w:sz w:val="24"/>
          <w:szCs w:val="24"/>
        </w:rPr>
      </w:pPr>
    </w:p>
    <w:p w14:paraId="3ECC8E3D" w14:textId="1D47AC10" w:rsidR="00E84279" w:rsidRPr="00E84279" w:rsidRDefault="00E84279" w:rsidP="00035F66">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E84279">
        <w:rPr>
          <w:rFonts w:ascii="Book Antiqua" w:eastAsia="Times New Roman" w:hAnsi="Book Antiqua" w:cs="Times New Roman"/>
          <w:spacing w:val="-3"/>
          <w:sz w:val="24"/>
          <w:szCs w:val="24"/>
        </w:rPr>
        <w:t>6.3.G.</w:t>
      </w:r>
      <w:r w:rsidRPr="00E84279">
        <w:rPr>
          <w:rFonts w:ascii="Book Antiqua" w:eastAsia="Times New Roman" w:hAnsi="Book Antiqua" w:cs="Times New Roman"/>
          <w:spacing w:val="-3"/>
          <w:sz w:val="24"/>
          <w:szCs w:val="24"/>
        </w:rPr>
        <w:tab/>
      </w:r>
      <w:r w:rsidR="00EB5839">
        <w:rPr>
          <w:rFonts w:ascii="Book Antiqua" w:eastAsia="Times New Roman" w:hAnsi="Book Antiqua" w:cs="Times New Roman"/>
          <w:spacing w:val="-3"/>
          <w:sz w:val="24"/>
          <w:szCs w:val="24"/>
        </w:rPr>
        <w:t xml:space="preserve"> </w:t>
      </w:r>
      <w:r w:rsidRPr="00E84279">
        <w:rPr>
          <w:rFonts w:ascii="Book Antiqua" w:eastAsia="Times New Roman" w:hAnsi="Book Antiqua" w:cs="Times New Roman"/>
          <w:spacing w:val="-3"/>
          <w:sz w:val="24"/>
          <w:szCs w:val="24"/>
        </w:rPr>
        <w:t xml:space="preserve">An appeal from any order, relief or denial of the Board of Appeals may be taken by </w:t>
      </w:r>
      <w:r w:rsidR="00035F66">
        <w:rPr>
          <w:rFonts w:ascii="Book Antiqua" w:eastAsia="Times New Roman" w:hAnsi="Book Antiqua" w:cs="Times New Roman"/>
          <w:spacing w:val="-3"/>
          <w:sz w:val="24"/>
          <w:szCs w:val="24"/>
        </w:rPr>
        <w:t xml:space="preserve">    </w:t>
      </w:r>
      <w:r w:rsidRPr="00E84279">
        <w:rPr>
          <w:rFonts w:ascii="Book Antiqua" w:eastAsia="Times New Roman" w:hAnsi="Book Antiqua" w:cs="Times New Roman"/>
          <w:spacing w:val="-3"/>
          <w:sz w:val="24"/>
          <w:szCs w:val="24"/>
        </w:rPr>
        <w:t xml:space="preserve">any </w:t>
      </w:r>
      <w:r w:rsidR="00F06026">
        <w:rPr>
          <w:rFonts w:ascii="Book Antiqua" w:eastAsia="Times New Roman" w:hAnsi="Book Antiqua" w:cs="Times New Roman"/>
          <w:spacing w:val="-3"/>
          <w:sz w:val="24"/>
          <w:szCs w:val="24"/>
        </w:rPr>
        <w:t>aggrieved</w:t>
      </w:r>
      <w:r w:rsidR="0060267C">
        <w:rPr>
          <w:rFonts w:ascii="Book Antiqua" w:eastAsia="Times New Roman" w:hAnsi="Book Antiqua" w:cs="Times New Roman"/>
          <w:spacing w:val="-3"/>
          <w:sz w:val="24"/>
          <w:szCs w:val="24"/>
        </w:rPr>
        <w:t xml:space="preserve"> </w:t>
      </w:r>
      <w:r w:rsidRPr="00E84279">
        <w:rPr>
          <w:rFonts w:ascii="Book Antiqua" w:eastAsia="Times New Roman" w:hAnsi="Book Antiqua" w:cs="Times New Roman"/>
          <w:spacing w:val="-3"/>
          <w:sz w:val="24"/>
          <w:szCs w:val="24"/>
        </w:rPr>
        <w:t>party to Superior Court in accordance with the Maine Rules of Civil Procedure, Rule 80B.</w:t>
      </w:r>
    </w:p>
    <w:p w14:paraId="3ECC8E3E" w14:textId="77777777" w:rsidR="00E84279" w:rsidRPr="00E84279" w:rsidRDefault="00E84279" w:rsidP="00E84279">
      <w:pPr>
        <w:spacing w:after="0" w:line="240" w:lineRule="auto"/>
        <w:rPr>
          <w:rFonts w:ascii="Garamond" w:eastAsia="Times New Roman" w:hAnsi="Garamond" w:cs="Times New Roman"/>
          <w:sz w:val="24"/>
          <w:szCs w:val="24"/>
        </w:rPr>
      </w:pPr>
    </w:p>
    <w:p w14:paraId="3ECC8E3F" w14:textId="77777777" w:rsidR="006D08A3" w:rsidRDefault="006D08A3"/>
    <w:sectPr w:rsidR="006D08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2982" w14:textId="77777777" w:rsidR="00D133E1" w:rsidRDefault="00D133E1" w:rsidP="00E84279">
      <w:pPr>
        <w:spacing w:after="0" w:line="240" w:lineRule="auto"/>
      </w:pPr>
      <w:r>
        <w:separator/>
      </w:r>
    </w:p>
  </w:endnote>
  <w:endnote w:type="continuationSeparator" w:id="0">
    <w:p w14:paraId="266E14B1" w14:textId="77777777" w:rsidR="00D133E1" w:rsidRDefault="00D133E1" w:rsidP="00E8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C54" w14:textId="77777777" w:rsidR="002A360D" w:rsidRDefault="002A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E47" w14:textId="3E7052C1" w:rsidR="00533797" w:rsidRPr="00533797" w:rsidRDefault="00533797" w:rsidP="00533797">
    <w:pPr>
      <w:pStyle w:val="Footer"/>
      <w:rPr>
        <w:rFonts w:ascii="Garamond" w:eastAsia="Times New Roman" w:hAnsi="Garamond" w:cs="Times New Roman"/>
        <w:spacing w:val="-3"/>
        <w:sz w:val="24"/>
        <w:szCs w:val="24"/>
      </w:rPr>
    </w:pPr>
    <w:r w:rsidRPr="00E84279">
      <w:rPr>
        <w:rFonts w:ascii="Garamond" w:eastAsia="Times New Roman" w:hAnsi="Garamond" w:cs="Times New Roman"/>
        <w:spacing w:val="-3"/>
        <w:sz w:val="18"/>
        <w:szCs w:val="24"/>
      </w:rPr>
      <w:t>Town of Buxton Zoning Ordinance</w:t>
    </w:r>
    <w:r>
      <w:rPr>
        <w:rFonts w:ascii="Garamond" w:eastAsia="Times New Roman" w:hAnsi="Garamond" w:cs="Times New Roman"/>
        <w:spacing w:val="-3"/>
        <w:sz w:val="18"/>
        <w:szCs w:val="24"/>
      </w:rPr>
      <w:tab/>
    </w:r>
    <w:r>
      <w:t xml:space="preserve"> 6-</w:t>
    </w:r>
    <w:sdt>
      <w:sdtPr>
        <w:id w:val="-345330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2271">
          <w:rPr>
            <w:noProof/>
          </w:rPr>
          <w:t>3</w:t>
        </w:r>
        <w:r>
          <w:rPr>
            <w:noProof/>
          </w:rPr>
          <w:fldChar w:fldCharType="end"/>
        </w:r>
      </w:sdtContent>
    </w:sdt>
    <w:r>
      <w:rPr>
        <w:rFonts w:ascii="Garamond" w:eastAsia="Times New Roman" w:hAnsi="Garamond" w:cs="Times New Roman"/>
        <w:spacing w:val="-3"/>
        <w:sz w:val="24"/>
        <w:szCs w:val="24"/>
      </w:rPr>
      <w:tab/>
    </w:r>
    <w:r w:rsidR="00262271" w:rsidRPr="00262271">
      <w:rPr>
        <w:rFonts w:ascii="Garamond" w:eastAsia="Times New Roman" w:hAnsi="Garamond" w:cs="Times New Roman"/>
        <w:spacing w:val="-3"/>
        <w:sz w:val="18"/>
        <w:szCs w:val="18"/>
      </w:rPr>
      <w:t>June 1</w:t>
    </w:r>
    <w:r w:rsidR="002A360D">
      <w:rPr>
        <w:rFonts w:ascii="Garamond" w:eastAsia="Times New Roman" w:hAnsi="Garamond" w:cs="Times New Roman"/>
        <w:spacing w:val="-3"/>
        <w:sz w:val="18"/>
        <w:szCs w:val="18"/>
      </w:rPr>
      <w:t>7</w:t>
    </w:r>
    <w:r w:rsidR="00AE5750">
      <w:rPr>
        <w:rFonts w:ascii="Garamond" w:eastAsia="Times New Roman" w:hAnsi="Garamond" w:cs="Times New Roman"/>
        <w:spacing w:val="-3"/>
        <w:sz w:val="18"/>
        <w:szCs w:val="18"/>
      </w:rPr>
      <w:t>, 202</w:t>
    </w:r>
    <w:r w:rsidR="002A360D">
      <w:rPr>
        <w:rFonts w:ascii="Garamond" w:eastAsia="Times New Roman" w:hAnsi="Garamond" w:cs="Times New Roman"/>
        <w:spacing w:val="-3"/>
        <w:sz w:val="18"/>
        <w:szCs w:val="18"/>
      </w:rPr>
      <w:t>3</w:t>
    </w:r>
    <w:r w:rsidRPr="00262271">
      <w:rPr>
        <w:rFonts w:ascii="Garamond" w:eastAsia="Times New Roman" w:hAnsi="Garamond" w:cs="Courier New"/>
        <w:spacing w:val="-3"/>
        <w:sz w:val="18"/>
        <w:szCs w:val="18"/>
      </w:rPr>
      <w:t xml:space="preserve"> Edition</w:t>
    </w:r>
  </w:p>
  <w:p w14:paraId="3ECC8E48" w14:textId="77777777" w:rsidR="00E84279" w:rsidRPr="00533797" w:rsidRDefault="00E84279" w:rsidP="00533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ADC1" w14:textId="77777777" w:rsidR="002A360D" w:rsidRDefault="002A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E24D" w14:textId="77777777" w:rsidR="00D133E1" w:rsidRDefault="00D133E1" w:rsidP="00E84279">
      <w:pPr>
        <w:spacing w:after="0" w:line="240" w:lineRule="auto"/>
      </w:pPr>
      <w:r>
        <w:separator/>
      </w:r>
    </w:p>
  </w:footnote>
  <w:footnote w:type="continuationSeparator" w:id="0">
    <w:p w14:paraId="48D81226" w14:textId="77777777" w:rsidR="00D133E1" w:rsidRDefault="00D133E1" w:rsidP="00E8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7DF5" w14:textId="77777777" w:rsidR="002A360D" w:rsidRDefault="002A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E44" w14:textId="77777777" w:rsidR="00533797" w:rsidRPr="00E84279" w:rsidRDefault="00533797" w:rsidP="00533797">
    <w:pPr>
      <w:tabs>
        <w:tab w:val="center" w:pos="4680"/>
      </w:tabs>
      <w:suppressAutoHyphens/>
      <w:spacing w:after="0" w:line="240" w:lineRule="atLeast"/>
      <w:jc w:val="both"/>
      <w:rPr>
        <w:rFonts w:ascii="Garamond" w:eastAsia="Times New Roman" w:hAnsi="Garamond" w:cs="Times New Roman"/>
        <w:spacing w:val="-3"/>
        <w:sz w:val="18"/>
        <w:szCs w:val="24"/>
      </w:rPr>
    </w:pPr>
    <w:r w:rsidRPr="00E84279">
      <w:rPr>
        <w:rFonts w:ascii="Garamond" w:eastAsia="Times New Roman" w:hAnsi="Garamond" w:cs="Times New Roman"/>
        <w:spacing w:val="-3"/>
        <w:sz w:val="24"/>
        <w:szCs w:val="24"/>
      </w:rPr>
      <w:tab/>
    </w:r>
    <w:r w:rsidRPr="00E84279">
      <w:rPr>
        <w:rFonts w:ascii="Garamond" w:eastAsia="Times New Roman" w:hAnsi="Garamond" w:cs="Times New Roman"/>
        <w:spacing w:val="-3"/>
        <w:sz w:val="24"/>
        <w:szCs w:val="24"/>
      </w:rPr>
      <w:tab/>
    </w:r>
    <w:r w:rsidRPr="00E84279">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p>
  <w:p w14:paraId="3ECC8E45" w14:textId="77777777" w:rsidR="00533797" w:rsidRDefault="00533797" w:rsidP="00533797">
    <w:pPr>
      <w:pStyle w:val="Footer"/>
    </w:pPr>
  </w:p>
  <w:p w14:paraId="3ECC8E46" w14:textId="77777777" w:rsidR="00E84279" w:rsidRPr="006F1D04" w:rsidRDefault="00E84279">
    <w:pPr>
      <w:pStyle w:val="Header"/>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0662" w14:textId="77777777" w:rsidR="002A360D" w:rsidRDefault="002A3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79"/>
    <w:rsid w:val="0001040E"/>
    <w:rsid w:val="00035F66"/>
    <w:rsid w:val="0009470F"/>
    <w:rsid w:val="001B6563"/>
    <w:rsid w:val="001D4DFB"/>
    <w:rsid w:val="00262271"/>
    <w:rsid w:val="002A360D"/>
    <w:rsid w:val="002D27AD"/>
    <w:rsid w:val="0036113A"/>
    <w:rsid w:val="003E3EC9"/>
    <w:rsid w:val="00417375"/>
    <w:rsid w:val="00423BE8"/>
    <w:rsid w:val="00533797"/>
    <w:rsid w:val="005863BF"/>
    <w:rsid w:val="005D7741"/>
    <w:rsid w:val="0060267C"/>
    <w:rsid w:val="006D08A3"/>
    <w:rsid w:val="006F1D04"/>
    <w:rsid w:val="00762EAA"/>
    <w:rsid w:val="0080459E"/>
    <w:rsid w:val="0087569F"/>
    <w:rsid w:val="008A1CF7"/>
    <w:rsid w:val="008C41F3"/>
    <w:rsid w:val="008E1DEC"/>
    <w:rsid w:val="009179C7"/>
    <w:rsid w:val="0097091F"/>
    <w:rsid w:val="009E0621"/>
    <w:rsid w:val="00A254E5"/>
    <w:rsid w:val="00AE5750"/>
    <w:rsid w:val="00B073AA"/>
    <w:rsid w:val="00B22763"/>
    <w:rsid w:val="00B23661"/>
    <w:rsid w:val="00CB389F"/>
    <w:rsid w:val="00D133E1"/>
    <w:rsid w:val="00D148D4"/>
    <w:rsid w:val="00E505EC"/>
    <w:rsid w:val="00E62E13"/>
    <w:rsid w:val="00E73909"/>
    <w:rsid w:val="00E76FBA"/>
    <w:rsid w:val="00E84279"/>
    <w:rsid w:val="00EB5839"/>
    <w:rsid w:val="00ED5D3F"/>
    <w:rsid w:val="00F06026"/>
    <w:rsid w:val="00FA05C8"/>
    <w:rsid w:val="00FD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8E1A"/>
  <w15:docId w15:val="{C647D7E9-AA89-411F-9AE2-6A1261CA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79"/>
  </w:style>
  <w:style w:type="paragraph" w:styleId="Footer">
    <w:name w:val="footer"/>
    <w:basedOn w:val="Normal"/>
    <w:link w:val="FooterChar"/>
    <w:uiPriority w:val="99"/>
    <w:unhideWhenUsed/>
    <w:rsid w:val="00E8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79"/>
  </w:style>
  <w:style w:type="paragraph" w:styleId="BalloonText">
    <w:name w:val="Balloon Text"/>
    <w:basedOn w:val="Normal"/>
    <w:link w:val="BalloonTextChar"/>
    <w:uiPriority w:val="99"/>
    <w:semiHidden/>
    <w:unhideWhenUsed/>
    <w:rsid w:val="006F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1849B-C2A8-4ABE-88E6-79F9E9C7E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7AD05-14EE-498E-A585-959113A62B71}">
  <ds:schemaRefs>
    <ds:schemaRef ds:uri="http://schemas.microsoft.com/sharepoint/v3/contenttype/forms"/>
  </ds:schemaRefs>
</ds:datastoreItem>
</file>

<file path=customXml/itemProps3.xml><?xml version="1.0" encoding="utf-8"?>
<ds:datastoreItem xmlns:ds="http://schemas.openxmlformats.org/officeDocument/2006/customXml" ds:itemID="{9DFD778E-BE4E-4329-9370-6D50251F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5</cp:revision>
  <cp:lastPrinted>2023-08-09T20:57:00Z</cp:lastPrinted>
  <dcterms:created xsi:type="dcterms:W3CDTF">2023-07-03T15:19:00Z</dcterms:created>
  <dcterms:modified xsi:type="dcterms:W3CDTF">2023-08-09T20:59:00Z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